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20</w:t>
      </w:r>
      <w:r>
        <w:rPr>
          <w:sz w:val="24"/>
          <w:szCs w:val="24"/>
        </w:rPr>
        <w:tab/>
      </w:r>
      <w:r>
        <w:rPr>
          <w:sz w:val="24"/>
          <w:szCs w:val="24"/>
        </w:rPr>
        <w:t>R2-</w:t>
      </w:r>
      <w:r>
        <w:rPr>
          <w:rFonts w:hint="eastAsia"/>
          <w:sz w:val="24"/>
          <w:szCs w:val="24"/>
        </w:rPr>
        <w:t>2211813</w:t>
      </w:r>
    </w:p>
    <w:p>
      <w:pPr>
        <w:pStyle w:val="33"/>
        <w:tabs>
          <w:tab w:val="left" w:pos="1701"/>
          <w:tab w:val="right" w:pos="9923"/>
        </w:tabs>
        <w:rPr>
          <w:rFonts w:hint="default" w:ascii="Arial" w:hAnsi="Arial" w:cs="Arial"/>
          <w:b/>
          <w:bCs/>
          <w:color w:val="000000"/>
          <w:sz w:val="24"/>
          <w:szCs w:val="24"/>
          <w:lang w:val="en-US" w:eastAsia="zh-CN"/>
        </w:rPr>
      </w:pPr>
      <w:r>
        <w:rPr>
          <w:sz w:val="24"/>
          <w:szCs w:val="24"/>
        </w:rPr>
        <w:t xml:space="preserve">Toulouse, France, </w:t>
      </w:r>
      <w:r>
        <w:rPr>
          <w:rFonts w:hint="default" w:ascii="Arial" w:hAnsi="Arial" w:cs="Arial"/>
          <w:b/>
          <w:bCs/>
          <w:color w:val="000000"/>
          <w:sz w:val="24"/>
          <w:szCs w:val="24"/>
        </w:rPr>
        <w:t>1</w:t>
      </w:r>
      <w:r>
        <w:rPr>
          <w:rFonts w:hint="eastAsia" w:ascii="Arial" w:hAnsi="Arial" w:cs="Arial"/>
          <w:b/>
          <w:bCs/>
          <w:color w:val="000000"/>
          <w:sz w:val="24"/>
          <w:szCs w:val="24"/>
          <w:lang w:val="en-US" w:eastAsia="zh-CN"/>
        </w:rPr>
        <w:t>4</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cs="Arial"/>
          <w:b/>
          <w:bCs/>
          <w:color w:val="000000"/>
          <w:sz w:val="24"/>
          <w:szCs w:val="24"/>
          <w:lang w:val="en-US" w:eastAsia="zh-CN"/>
        </w:rPr>
        <w:t>18</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sz w:val="24"/>
          <w:szCs w:val="24"/>
        </w:rPr>
        <w:t>November,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topology adaptation in mobile IAB scenario</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 meeting, the inter-donor migration of the mobile IAB node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pPr>
            <w:r>
              <w:t xml:space="preserve">RAN2 assumes that O1 and O3 above could work, and FFS if O2 above (new trigger etc) is needed. </w:t>
            </w:r>
          </w:p>
          <w:p>
            <w:pPr>
              <w:pStyle w:val="108"/>
              <w:numPr>
                <w:ilvl w:val="0"/>
                <w:numId w:val="0"/>
              </w:numPr>
              <w:ind w:left="1259" w:leftChars="0"/>
            </w:pPr>
          </w:p>
          <w:p>
            <w:pPr>
              <w:pStyle w:val="108"/>
            </w:pPr>
            <w:r>
              <w:t xml:space="preserve">RAN2 focuses on the scenario where, during full migration, the UE sees the </w:t>
            </w:r>
            <w:r>
              <w:rPr>
                <w:rFonts w:cstheme="minorHAnsi"/>
              </w:rPr>
              <w:t>two logical DU cells as different physical cells (e.g. with different PCI if same carrier), and where the two logical DU cells use separate physical resources (i.e., different carriers, or orthogonal time and frequency resources of the same carrier, as supported by legacy L1).</w:t>
            </w:r>
          </w:p>
          <w:p>
            <w:pPr>
              <w:pStyle w:val="108"/>
              <w:rPr>
                <w:rFonts w:hint="eastAsia"/>
                <w:vertAlign w:val="baseline"/>
                <w:lang w:val="en-US" w:eastAsia="zh-CN"/>
              </w:rPr>
            </w:pPr>
            <w:r>
              <w:t>No LS is needed</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In this paper, we will discuss the inter-donor migration of mobile IAB node and mitigation of interference and the potential RAN2 impact. </w:t>
      </w:r>
    </w:p>
    <w:p>
      <w:pPr>
        <w:pStyle w:val="2"/>
        <w:jc w:val="both"/>
        <w:rPr>
          <w:lang w:eastAsia="zh-CN"/>
        </w:rPr>
      </w:pPr>
      <w:r>
        <w:rPr>
          <w:rFonts w:hint="eastAsia" w:eastAsia="宋体"/>
          <w:lang w:eastAsia="zh-CN"/>
        </w:rPr>
        <w:t>Discussion</w:t>
      </w:r>
    </w:p>
    <w:p>
      <w:pPr>
        <w:pStyle w:val="3"/>
        <w:bidi w:val="0"/>
        <w:rPr>
          <w:rFonts w:hint="eastAsia"/>
          <w:lang w:val="en-US" w:eastAsia="zh-CN"/>
        </w:rPr>
      </w:pPr>
      <w:r>
        <w:rPr>
          <w:rFonts w:hint="eastAsia"/>
          <w:lang w:val="en-US" w:eastAsia="zh-CN"/>
        </w:rPr>
        <w:t>Inter-donor migration of the mobile IAB node</w:t>
      </w:r>
    </w:p>
    <w:p>
      <w:pPr>
        <w:bidi w:val="0"/>
        <w:rPr>
          <w:rFonts w:hint="default"/>
          <w:lang w:val="en-US" w:eastAsia="zh-CN"/>
        </w:rPr>
      </w:pPr>
      <w:r>
        <w:rPr>
          <w:rFonts w:hint="eastAsia"/>
          <w:lang w:val="en-US" w:eastAsia="zh-CN"/>
        </w:rPr>
        <w:t>In R18, two types of migration procedure needs to be supported for IAB node, i.e. partial migration and full migration. So it should be discussed how to determine the migration type of mobile IAB node. As agreed in RAN3#117bis meeting, t</w:t>
      </w:r>
      <w:r>
        <w:t>he donor CU serving the mIAB-DU decides whether to execute mIAB-DU migration or inter-donor F1 transport migration for the mIAB-DU.</w:t>
      </w:r>
      <w:r>
        <w:rPr>
          <w:rFonts w:hint="eastAsia"/>
          <w:lang w:val="en-US" w:eastAsia="zh-CN"/>
        </w:rPr>
        <w:t xml:space="preserve"> It implies that the donor CU serving the mobile IAB-DU (i.e. the F1-terminating donor) is responsible of the determination of the migration type. And it was agreed that </w:t>
      </w:r>
      <w:r>
        <w:t>the donor CU serving the mIAB-DU is informed about the mIAB-MT HO</w:t>
      </w:r>
      <w:r>
        <w:rPr>
          <w:rFonts w:hint="eastAsia"/>
          <w:lang w:val="en-US" w:eastAsia="zh-CN"/>
        </w:rPr>
        <w:t>. On the other hand, it was working assumption that the</w:t>
      </w:r>
      <w:r>
        <w:t xml:space="preserve"> source donor </w:t>
      </w:r>
      <w:r>
        <w:rPr>
          <w:rFonts w:hint="eastAsia"/>
          <w:lang w:val="en-US" w:eastAsia="zh-CN"/>
        </w:rPr>
        <w:t xml:space="preserve">CU for the mIAB-MT HO provides to the donor CU serving the mIAB-DU at least the gNB ID of the target donor CU and the IAB-MT ID.  In our view, the source donor could send the target cell info of the MT handover to the F1-terminating donor after it determines the target cell of the MT handover based on the measurement report from the mobile IAB node. And then, after receiving the IAB-MT HO info, the F1 terminating donor could determine the migration type based on the distance between the F1 terminating donor and target donor of mobile IAB-MT. Alternatively, the F1 terminating donor may decide to initiate full migration when there is no IP connectivity between F1-terminating donor CU and target donor DU. Then the migration type needs to be indicated to the target donor, e.g., for the corresponding IP address request. As we know, if partial migration is to be executed, only one set of IP addresses needs to be allocated by the target donor; Otherwise, if full migration is to be executed, two sets of IP addresses may be needed to be allocated by the target donor, i.e. one for inter-donor traffic transfer for F1-terminating donor and the other one for traffic transfer for target donor. Alternatively, only one set of IPv6 prefix may be allocated by the target donor to the mobile IAB node. In this situation, the migration type needs to be informed to the mobile IAB node as well. If partial migration is to be performed, the mobile IAB node can follow R17 inter-donor migration procedure. Otherwise, if full migration is to be performed, the mobile IAB node needs to generate another set of IPv6 addresses based on the assigned IPv6 prefix to perform DU migration after partial migration, i.e. establish SCTP/F1 connection with the target donor. In our view, the migration type could be indicated to the mobile IAB node via the RRCreconfiguration message. </w:t>
      </w:r>
      <w:r>
        <w:rPr>
          <w:rFonts w:hint="eastAsia" w:ascii="Times New Roman" w:hAnsi="Times New Roman" w:eastAsia="宋体"/>
          <w:lang w:val="en-US" w:eastAsia="zh-CN"/>
        </w:rPr>
        <w:t xml:space="preserve">Figure </w:t>
      </w:r>
      <w:r>
        <w:rPr>
          <w:rFonts w:hint="eastAsia"/>
          <w:lang w:val="en-US" w:eastAsia="zh-CN"/>
        </w:rPr>
        <w:t>1</w:t>
      </w:r>
      <w:r>
        <w:rPr>
          <w:rFonts w:hint="eastAsia" w:ascii="Times New Roman" w:hAnsi="Times New Roman" w:eastAsia="宋体"/>
          <w:lang w:val="en-US" w:eastAsia="zh-CN"/>
        </w:rPr>
        <w:t xml:space="preserve"> shows an example of</w:t>
      </w:r>
      <w:r>
        <w:rPr>
          <w:rFonts w:hint="eastAsia" w:ascii="Times New Roman" w:hAnsi="Times New Roman" w:cs="Times New Roman"/>
          <w:lang w:val="en-US" w:eastAsia="zh-CN"/>
        </w:rPr>
        <w:t xml:space="preserve"> full</w:t>
      </w:r>
      <w:r>
        <w:rPr>
          <w:rFonts w:hint="eastAsia" w:ascii="Times New Roman" w:hAnsi="Times New Roman" w:eastAsia="宋体" w:cs="Times New Roman"/>
          <w:lang w:val="en-US" w:eastAsia="en-US"/>
        </w:rPr>
        <w:t xml:space="preserve"> migration</w:t>
      </w:r>
      <w:r>
        <w:rPr>
          <w:rFonts w:hint="eastAsia" w:ascii="Times New Roman" w:hAnsi="Times New Roman" w:cs="Times New Roman"/>
          <w:lang w:val="en-US" w:eastAsia="zh-CN"/>
        </w:rPr>
        <w:t xml:space="preserve"> procedure for the mobile IAB node based on R17 partial migration, where the F1-terminating donor and the source IAB donor of the IAB-MT HO are different IAB donors. </w:t>
      </w:r>
      <w:r>
        <w:rPr>
          <w:rFonts w:hint="eastAsia"/>
          <w:lang w:val="en-US" w:eastAsia="zh-CN"/>
        </w:rPr>
        <w:t xml:space="preserve"> </w:t>
      </w:r>
    </w:p>
    <w:p>
      <w:pPr>
        <w:jc w:val="both"/>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5" o:spt="75" type="#_x0000_t75" style="height:311.05pt;width:481.8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lang w:val="en-US" w:eastAsia="zh-CN"/>
        </w:rPr>
      </w:pPr>
      <w:r>
        <w:rPr>
          <w:rFonts w:hint="eastAsia"/>
          <w:lang w:val="en-US" w:eastAsia="zh-CN"/>
        </w:rPr>
        <w:t>Figure 1. F</w:t>
      </w:r>
      <w:r>
        <w:rPr>
          <w:rFonts w:hint="default"/>
          <w:lang w:val="en-US" w:eastAsia="zh-CN"/>
        </w:rPr>
        <w:t xml:space="preserve">ull migration </w:t>
      </w:r>
      <w:r>
        <w:rPr>
          <w:rFonts w:hint="eastAsia"/>
          <w:lang w:val="en-US" w:eastAsia="zh-CN"/>
        </w:rPr>
        <w:t xml:space="preserve">procedure </w:t>
      </w:r>
      <w:r>
        <w:rPr>
          <w:rFonts w:hint="default"/>
          <w:lang w:val="en-US" w:eastAsia="zh-CN"/>
        </w:rPr>
        <w:t xml:space="preserve">based on </w:t>
      </w:r>
      <w:r>
        <w:rPr>
          <w:rFonts w:hint="eastAsia"/>
          <w:lang w:val="en-US" w:eastAsia="zh-CN"/>
        </w:rPr>
        <w:t xml:space="preserve">R17 </w:t>
      </w:r>
      <w:r>
        <w:rPr>
          <w:rFonts w:hint="default"/>
          <w:lang w:val="en-US" w:eastAsia="zh-CN"/>
        </w:rPr>
        <w:t>partial migration</w:t>
      </w:r>
    </w:p>
    <w:p>
      <w:pPr>
        <w:bidi w:val="0"/>
        <w:rPr>
          <w:rFonts w:hint="default"/>
          <w:b/>
          <w:bCs/>
          <w:lang w:val="en-US" w:eastAsia="zh-CN"/>
        </w:rPr>
      </w:pPr>
      <w:r>
        <w:rPr>
          <w:rFonts w:hint="eastAsia"/>
          <w:b/>
          <w:bCs/>
          <w:lang w:val="en-US" w:eastAsia="zh-CN"/>
        </w:rPr>
        <w:t xml:space="preserve">Proposal 1: The migration type is informed to the mobile IAB node via RRCreconfiguration message to indicate whether partial or full migration is to be executed. </w:t>
      </w:r>
    </w:p>
    <w:p>
      <w:pPr>
        <w:bidi w:val="0"/>
        <w:rPr>
          <w:rFonts w:hint="default"/>
          <w:lang w:val="en-US" w:eastAsia="zh-CN"/>
        </w:rPr>
      </w:pPr>
      <w:r>
        <w:rPr>
          <w:rFonts w:hint="eastAsia"/>
          <w:lang w:val="en-US" w:eastAsia="zh-CN"/>
        </w:rPr>
        <w:t xml:space="preserve">On the other hand, during RAN2#119 meeting, it was agreed that </w:t>
      </w:r>
      <w:r>
        <w:t>R2 assumes that CHO or delayed RRC config could be the baseline for group mobility (FFS if could be applicable for mobility of IAB MT), i.e. with a preparation in advance (not immediately) of the execution.</w:t>
      </w:r>
      <w:r>
        <w:rPr>
          <w:rFonts w:hint="eastAsia"/>
          <w:lang w:val="en-US" w:eastAsia="zh-CN"/>
        </w:rPr>
        <w:t xml:space="preserve"> As we know, for CHO or delayed RRC configure, the HO cmd message for the UEs is transferred via the source path before MT migration. If we follow legacy UE handover procedure, F1 connection between the target logical DU and the target donor needs to be established before MT migration, i.e. DU migration is performed before MT migration. So it should be discussed how could F1 connection between the target logical DU and the target donor be established before MT migration. for example, F1-C related traffic could be transferred by IP routing via the source path, which is similar as the inter-donor transport in R17. Another</w:t>
      </w:r>
      <w:bookmarkStart w:id="3" w:name="_GoBack"/>
      <w:bookmarkEnd w:id="3"/>
      <w:r>
        <w:rPr>
          <w:rFonts w:hint="eastAsia"/>
          <w:lang w:val="en-US" w:eastAsia="zh-CN"/>
        </w:rPr>
        <w:t xml:space="preserve"> potential solution is that the F1-C traffic is delivered via the source donor CU. On the other hand, if DU migration performed before MT migration is to be supported, the migration type indicated to the mobile IAB-MT needs to be able to indicate whether DU migration or MT migration is performed first. </w:t>
      </w:r>
    </w:p>
    <w:p>
      <w:pPr>
        <w:bidi w:val="0"/>
        <w:rPr>
          <w:rFonts w:hint="eastAsia"/>
          <w:b/>
          <w:bCs/>
          <w:lang w:val="en-US" w:eastAsia="zh-CN"/>
        </w:rPr>
      </w:pPr>
      <w:r>
        <w:rPr>
          <w:rFonts w:hint="eastAsia"/>
          <w:b/>
          <w:bCs/>
          <w:lang w:val="en-US" w:eastAsia="zh-CN"/>
        </w:rPr>
        <w:t>Observation 1: For CHO or delayed RRC configure, F1 connection between the target logical DU and the target donor needs to be established before MT migration, i.e. DU migration is performed before MT migration.</w:t>
      </w:r>
    </w:p>
    <w:p>
      <w:pPr>
        <w:bidi w:val="0"/>
        <w:rPr>
          <w:rFonts w:hint="default"/>
          <w:lang w:val="en-US" w:eastAsia="zh-CN"/>
        </w:rPr>
      </w:pPr>
      <w:r>
        <w:rPr>
          <w:rFonts w:hint="eastAsia"/>
          <w:b/>
          <w:bCs/>
          <w:lang w:val="en-US" w:eastAsia="zh-CN"/>
        </w:rPr>
        <w:t>Proposal 2: If DU migration performed before MT migration is to be supported, the migration type indicated to the mobile IAB-MT needs to be able to indicate whether DU migration or MT migration is performed first.</w:t>
      </w:r>
    </w:p>
    <w:p>
      <w:pPr>
        <w:pStyle w:val="3"/>
        <w:bidi w:val="0"/>
        <w:rPr>
          <w:rFonts w:hint="default"/>
          <w:lang w:val="en-US" w:eastAsia="zh-CN"/>
        </w:rPr>
      </w:pPr>
      <w:r>
        <w:t>Mitigation of interference</w:t>
      </w:r>
    </w:p>
    <w:p>
      <w:pPr>
        <w:pStyle w:val="4"/>
        <w:bidi w:val="0"/>
        <w:rPr>
          <w:rFonts w:hint="eastAsia"/>
          <w:lang w:val="en-US" w:eastAsia="zh-CN"/>
        </w:rPr>
      </w:pPr>
      <w:r>
        <w:rPr>
          <w:rFonts w:hint="eastAsia"/>
          <w:lang w:val="en-US" w:eastAsia="zh-CN"/>
        </w:rPr>
        <w:t>PCI configuration</w:t>
      </w:r>
    </w:p>
    <w:p>
      <w:pPr>
        <w:overflowPunct w:val="0"/>
        <w:autoSpaceDE w:val="0"/>
        <w:autoSpaceDN w:val="0"/>
        <w:adjustRightInd w:val="0"/>
        <w:spacing w:before="156" w:beforeLines="50"/>
        <w:jc w:val="both"/>
        <w:rPr>
          <w:rFonts w:hint="default" w:ascii="Times New Roman" w:hAnsi="Times New Roman" w:eastAsia="Batang" w:cs="Times New Roman"/>
          <w:highlight w:val="none"/>
          <w:lang w:val="en-US" w:eastAsia="zh-CN"/>
        </w:rPr>
      </w:pPr>
      <w:r>
        <w:rPr>
          <w:rFonts w:hint="eastAsia" w:ascii="Times New Roman" w:hAnsi="Times New Roman" w:eastAsia="Batang" w:cs="Times New Roman"/>
          <w:highlight w:val="none"/>
          <w:lang w:val="en-US" w:eastAsia="zh-CN"/>
        </w:rPr>
        <w:t xml:space="preserve">It has been agreed that </w:t>
      </w:r>
      <w:r>
        <w:rPr>
          <w:rFonts w:hint="default" w:ascii="Times New Roman" w:hAnsi="Times New Roman" w:eastAsia="Batang" w:cs="Times New Roman"/>
          <w:highlight w:val="none"/>
          <w:lang w:val="en-US" w:eastAsia="zh-CN"/>
        </w:rPr>
        <w:t xml:space="preserve">RAN2 may discuss whether there are issues with PCI partitioning that needs to/can be addressed (to be used in applicable scenario), if any found within R2 scope. </w:t>
      </w:r>
      <w:r>
        <w:rPr>
          <w:rFonts w:hint="eastAsia" w:ascii="Times New Roman" w:hAnsi="Times New Roman" w:eastAsia="Batang" w:cs="Times New Roman"/>
          <w:highlight w:val="none"/>
          <w:lang w:val="en-US" w:eastAsia="zh-CN"/>
        </w:rPr>
        <w:t>RAN2 m</w:t>
      </w:r>
      <w:r>
        <w:rPr>
          <w:rFonts w:hint="default" w:ascii="Times New Roman" w:hAnsi="Times New Roman" w:eastAsia="Batang" w:cs="Times New Roman"/>
          <w:highlight w:val="none"/>
          <w:lang w:val="en-US" w:eastAsia="zh-CN"/>
        </w:rPr>
        <w:t>ay discuss</w:t>
      </w:r>
      <w:r>
        <w:rPr>
          <w:rFonts w:hint="eastAsia" w:ascii="Times New Roman" w:hAnsi="Times New Roman" w:eastAsia="Batang" w:cs="Times New Roman"/>
          <w:highlight w:val="none"/>
          <w:lang w:val="en-US" w:eastAsia="zh-CN"/>
        </w:rPr>
        <w:t xml:space="preserve"> the</w:t>
      </w:r>
      <w:r>
        <w:rPr>
          <w:rFonts w:hint="default" w:ascii="Times New Roman" w:hAnsi="Times New Roman" w:eastAsia="Batang" w:cs="Times New Roman"/>
          <w:highlight w:val="none"/>
          <w:lang w:val="en-US" w:eastAsia="zh-CN"/>
        </w:rPr>
        <w:t xml:space="preserve"> need and feasibility from R2 point of view of a dynamic PCI change mechanis</w:t>
      </w:r>
      <w:r>
        <w:rPr>
          <w:rFonts w:hint="eastAsia" w:ascii="Times New Roman" w:hAnsi="Times New Roman" w:eastAsia="Batang" w:cs="Times New Roman"/>
          <w:highlight w:val="none"/>
          <w:lang w:val="en-US" w:eastAsia="zh-CN"/>
        </w:rPr>
        <w:t>m, m</w:t>
      </w:r>
      <w:r>
        <w:rPr>
          <w:rFonts w:hint="default" w:ascii="Times New Roman" w:hAnsi="Times New Roman" w:eastAsia="Batang" w:cs="Times New Roman"/>
          <w:highlight w:val="none"/>
          <w:lang w:val="en-US" w:eastAsia="zh-CN"/>
        </w:rPr>
        <w:t xml:space="preserve">ay also discuss whether enhancements to/vs current UE/MT reporting are useful/necessary to improve PCI collision detection. </w:t>
      </w:r>
    </w:p>
    <w:p>
      <w:pPr>
        <w:rPr>
          <w:rFonts w:hint="eastAsia"/>
          <w:b w:val="0"/>
          <w:bCs w:val="0"/>
          <w:highlight w:val="none"/>
          <w:lang w:val="en-US" w:eastAsia="zh-CN"/>
        </w:rPr>
      </w:pPr>
      <w:r>
        <w:rPr>
          <w:rFonts w:hint="eastAsia"/>
          <w:lang w:val="en-US" w:eastAsia="zh-CN"/>
        </w:rPr>
        <w:t>On the other hand, RAN3 has agreed that</w:t>
      </w:r>
      <w:r>
        <w:rPr>
          <w:rFonts w:hint="eastAsia"/>
          <w:i w:val="0"/>
          <w:iCs w:val="0"/>
          <w:color w:val="auto"/>
          <w:lang w:val="en-US" w:eastAsia="zh-CN"/>
        </w:rPr>
        <w:t xml:space="preserve"> </w:t>
      </w:r>
      <w:r>
        <w:rPr>
          <w:rFonts w:eastAsia="MS Mincho" w:cs="Calibri"/>
          <w:i w:val="0"/>
          <w:iCs w:val="0"/>
          <w:color w:val="auto"/>
          <w:kern w:val="2"/>
          <w:sz w:val="20"/>
          <w:szCs w:val="20"/>
        </w:rPr>
        <w:t xml:space="preserve">PCI space partitioning </w:t>
      </w:r>
      <w:r>
        <w:rPr>
          <w:rFonts w:hint="eastAsia" w:eastAsia="宋体" w:cs="Calibri"/>
          <w:i w:val="0"/>
          <w:iCs w:val="0"/>
          <w:color w:val="auto"/>
          <w:kern w:val="2"/>
          <w:sz w:val="20"/>
          <w:szCs w:val="20"/>
          <w:lang w:val="en-US" w:eastAsia="zh-CN"/>
        </w:rPr>
        <w:t xml:space="preserve">can be performed by </w:t>
      </w:r>
      <w:r>
        <w:rPr>
          <w:rFonts w:eastAsia="MS Mincho" w:cs="Calibri"/>
          <w:i w:val="0"/>
          <w:iCs w:val="0"/>
          <w:color w:val="auto"/>
          <w:kern w:val="2"/>
          <w:sz w:val="20"/>
          <w:szCs w:val="20"/>
        </w:rPr>
        <w:t xml:space="preserve">OAM </w:t>
      </w:r>
      <w:r>
        <w:rPr>
          <w:rFonts w:hint="eastAsia" w:eastAsia="宋体" w:cs="Calibri"/>
          <w:i w:val="0"/>
          <w:iCs w:val="0"/>
          <w:color w:val="auto"/>
          <w:kern w:val="2"/>
          <w:sz w:val="20"/>
          <w:szCs w:val="20"/>
          <w:lang w:val="en-US" w:eastAsia="zh-CN"/>
        </w:rPr>
        <w:t xml:space="preserve">and up to implementation. </w:t>
      </w:r>
      <w:r>
        <w:rPr>
          <w:rFonts w:hint="eastAsia"/>
          <w:lang w:val="en-US" w:eastAsia="zh-CN"/>
        </w:rPr>
        <w:t xml:space="preserve">However, as pointed out by some companies, </w:t>
      </w:r>
      <w:r>
        <w:t>PCI partitioning to avoid PCI collision for mobile IAB</w:t>
      </w:r>
      <w:r>
        <w:rPr>
          <w:rFonts w:hint="eastAsia"/>
          <w:lang w:val="en-US" w:eastAsia="zh-CN"/>
        </w:rPr>
        <w:t xml:space="preserve"> may be not always</w:t>
      </w:r>
      <w:r>
        <w:t xml:space="preserve"> practical </w:t>
      </w:r>
      <w:r>
        <w:rPr>
          <w:rFonts w:hint="eastAsia"/>
          <w:lang w:val="en-US" w:eastAsia="zh-CN"/>
        </w:rPr>
        <w:t xml:space="preserve">since </w:t>
      </w:r>
      <w:r>
        <w:t xml:space="preserve">only 1008 PCI values </w:t>
      </w:r>
      <w:r>
        <w:rPr>
          <w:rFonts w:hint="eastAsia"/>
          <w:lang w:val="en-US" w:eastAsia="zh-CN"/>
        </w:rPr>
        <w:t xml:space="preserve">are </w:t>
      </w:r>
      <w:r>
        <w:t>available</w:t>
      </w:r>
      <w:r>
        <w:rPr>
          <w:rFonts w:hint="eastAsia"/>
          <w:lang w:val="en-US" w:eastAsia="zh-CN"/>
        </w:rPr>
        <w:t>. So it has been agreed in RAN3 tha</w:t>
      </w:r>
      <w:r>
        <w:rPr>
          <w:rFonts w:hint="default" w:ascii="Times New Roman" w:hAnsi="Times New Roman" w:cs="Times New Roman"/>
          <w:b w:val="0"/>
          <w:bCs w:val="0"/>
          <w:color w:val="auto"/>
          <w:sz w:val="20"/>
          <w:szCs w:val="20"/>
          <w:lang w:val="en-US" w:eastAsia="zh-CN"/>
        </w:rPr>
        <w:t xml:space="preserve">t </w:t>
      </w:r>
      <w:r>
        <w:rPr>
          <w:rFonts w:hint="default" w:ascii="Times New Roman" w:hAnsi="Times New Roman" w:cs="Times New Roman"/>
          <w:b w:val="0"/>
          <w:bCs w:val="0"/>
          <w:color w:val="auto"/>
          <w:sz w:val="20"/>
          <w:szCs w:val="20"/>
        </w:rPr>
        <w:t>PCI collision can be detected by the F1-terminating IAB-donor of the mobile IAB-node.</w:t>
      </w:r>
      <w:r>
        <w:rPr>
          <w:rFonts w:hint="eastAsia" w:ascii="Times New Roman" w:hAnsi="Times New Roman" w:cs="Times New Roman"/>
          <w:b w:val="0"/>
          <w:bCs w:val="0"/>
          <w:color w:val="auto"/>
          <w:sz w:val="20"/>
          <w:szCs w:val="20"/>
          <w:lang w:val="en-US" w:eastAsia="zh-CN"/>
        </w:rPr>
        <w:t xml:space="preserve"> In addition, a</w:t>
      </w:r>
      <w:r>
        <w:rPr>
          <w:rFonts w:hint="default" w:ascii="Times New Roman" w:hAnsi="Times New Roman" w:cs="Times New Roman"/>
          <w:b w:val="0"/>
          <w:bCs w:val="0"/>
          <w:color w:val="auto"/>
          <w:sz w:val="20"/>
          <w:szCs w:val="20"/>
        </w:rPr>
        <w:t xml:space="preserve">s baseline, to avoid PCI </w:t>
      </w:r>
      <w:r>
        <w:rPr>
          <w:rFonts w:hint="eastAsia" w:ascii="Times New Roman" w:hAnsi="Times New Roman" w:cs="Times New Roman"/>
          <w:b w:val="0"/>
          <w:bCs w:val="0"/>
          <w:color w:val="auto"/>
          <w:sz w:val="20"/>
          <w:szCs w:val="20"/>
          <w:lang w:val="en-US" w:eastAsia="zh-CN"/>
        </w:rPr>
        <w:t>c</w:t>
      </w:r>
      <w:r>
        <w:rPr>
          <w:rFonts w:hint="default" w:ascii="Times New Roman" w:hAnsi="Times New Roman" w:cs="Times New Roman"/>
          <w:b w:val="0"/>
          <w:bCs w:val="0"/>
          <w:color w:val="auto"/>
          <w:sz w:val="20"/>
          <w:szCs w:val="20"/>
        </w:rPr>
        <w:t>ollision, F1-terminating IAB-donor can reconfigure PCI for the cell of mobile IAB-DU via existing F1AP message.</w:t>
      </w:r>
      <w:r>
        <w:rPr>
          <w:rFonts w:hint="eastAsia" w:ascii="Times New Roman" w:hAnsi="Times New Roman" w:cs="Times New Roman"/>
          <w:b w:val="0"/>
          <w:bCs w:val="0"/>
          <w:color w:val="auto"/>
          <w:sz w:val="20"/>
          <w:szCs w:val="20"/>
          <w:lang w:val="en-US" w:eastAsia="zh-CN"/>
        </w:rPr>
        <w:t xml:space="preserve"> </w:t>
      </w:r>
      <w:r>
        <w:rPr>
          <w:rFonts w:hint="eastAsia"/>
          <w:lang w:val="en-US" w:eastAsia="zh-CN"/>
        </w:rPr>
        <w:t xml:space="preserve">To be specific, </w:t>
      </w:r>
      <w:r>
        <w:rPr>
          <w:rFonts w:hint="eastAsia"/>
          <w:highlight w:val="none"/>
          <w:lang w:val="en-US" w:eastAsia="zh-CN"/>
        </w:rPr>
        <w:t xml:space="preserve">the donor CU should be able to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cell)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w:t>
      </w:r>
      <w:r>
        <w:rPr>
          <w:rFonts w:hint="eastAsia"/>
          <w:b w:val="0"/>
          <w:bCs w:val="0"/>
          <w:highlight w:val="none"/>
          <w:lang w:val="en-US" w:eastAsia="zh-CN"/>
        </w:rPr>
        <w:t>-</w:t>
      </w:r>
      <w:r>
        <w:rPr>
          <w:b w:val="0"/>
          <w:bCs w:val="0"/>
          <w:highlight w:val="none"/>
          <w:lang w:val="en-US" w:eastAsia="zh-CN"/>
        </w:rPr>
        <w:t>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via the F1 SETUP or </w:t>
      </w:r>
      <w:r>
        <w:rPr>
          <w:rFonts w:hint="eastAsia"/>
          <w:lang w:val="en-US" w:eastAsia="zh-CN"/>
        </w:rPr>
        <w:t>NG-RAN node CONFIGURATION UPDATE procedure</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the mobile IAB-DU has only F1 connection with F1-terminating donor CU and won</w:t>
      </w:r>
      <w:r>
        <w:rPr>
          <w:rFonts w:hint="default" w:eastAsia="等线"/>
          <w:lang w:val="en-US" w:eastAsia="zh-CN"/>
        </w:rPr>
        <w:t>’</w:t>
      </w:r>
      <w:r>
        <w:rPr>
          <w:rFonts w:hint="eastAsia" w:eastAsia="等线"/>
          <w:lang w:val="en-US" w:eastAsia="zh-CN"/>
        </w:rPr>
        <w:t xml:space="preserve">t send F1 setup request to target donor CU of mobile IAB-MT. It is doubtful how the target donor CU of mobile IAB-MT be aware of the PCI collision of mobile IAB-DU. In our opinion, this issue can be solved if there is Xn connection between the F1-terminating donor CU and target donor CU. To be specific,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Thus F1-terminating donor CU can detect potential PCI collision and then reconfigure the PCI for mobile IAB-DU</w:t>
      </w:r>
      <w:r>
        <w:rPr>
          <w:rFonts w:hint="default" w:eastAsia="等线"/>
          <w:lang w:val="en-US" w:eastAsia="zh-CN"/>
        </w:rPr>
        <w:t>’</w:t>
      </w:r>
      <w:r>
        <w:rPr>
          <w:rFonts w:hint="eastAsia" w:eastAsia="等线"/>
          <w:lang w:val="en-US" w:eastAsia="zh-CN"/>
        </w:rPr>
        <w:t xml:space="preserve">s cell when necessary. However, if the Xn connection is not available, it is hard for the F1-terminating donor CU to be aware of the PCI collision. On the other hand, the PCI reconfiguration after the F1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w:t>
      </w:r>
    </w:p>
    <w:p>
      <w:pPr>
        <w:numPr>
          <w:ilvl w:val="-1"/>
          <w:numId w:val="0"/>
        </w:numPr>
        <w:jc w:val="both"/>
        <w:rPr>
          <w:rFonts w:hint="eastAsia"/>
          <w:color w:val="auto"/>
          <w:highlight w:val="none"/>
          <w:lang w:val="en-US" w:eastAsia="zh-CN"/>
        </w:rPr>
      </w:pPr>
      <w:r>
        <w:rPr>
          <w:rFonts w:hint="eastAsia" w:eastAsia="等线"/>
          <w:lang w:val="en-US" w:eastAsia="zh-CN"/>
        </w:rPr>
        <w:t xml:space="preserve">Based on the above analysis, it is suggested that the new PCI be reconfigured as soon as possible once the potential collision may happen. To be specific,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co-located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detects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and send it to source donor CU. Upon receiving the RRCReconfiguration message with reconfigurationWithSync from source donor CU, the mobile IAB-MT deliver the new PCI configuration of mobile IAB cells to the co-located mobile IAB-DU, which will then broadcast the update of PCI via system information.  </w:t>
      </w:r>
    </w:p>
    <w:p>
      <w:pPr>
        <w:jc w:val="both"/>
        <w:rPr>
          <w:rFonts w:hint="default"/>
          <w:lang w:val="en-US" w:eastAsia="zh-CN"/>
        </w:rPr>
      </w:pPr>
      <w:r>
        <w:rPr>
          <w:rFonts w:hint="eastAsia" w:eastAsia="等线"/>
          <w:b/>
          <w:bCs/>
          <w:lang w:val="en-US" w:eastAsia="zh-CN"/>
        </w:rPr>
        <w:t>Proposal 3: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4"/>
        <w:bidi w:val="0"/>
        <w:rPr>
          <w:rFonts w:hint="eastAsia"/>
          <w:lang w:val="en-US" w:eastAsia="zh-CN"/>
        </w:rPr>
      </w:pPr>
      <w:r>
        <w:rPr>
          <w:rFonts w:hint="eastAsia"/>
          <w:lang w:val="en-US" w:eastAsia="zh-CN"/>
        </w:rPr>
        <w:t xml:space="preserve">RACH configuration </w:t>
      </w:r>
    </w:p>
    <w:p>
      <w:pPr>
        <w:jc w:val="both"/>
        <w:rPr>
          <w:rFonts w:hint="default" w:ascii="Times New Roman" w:hAnsi="Times New Roman" w:cs="Times New Roman"/>
          <w:highlight w:val="none"/>
          <w:lang w:val="en-US" w:eastAsia="zh-CN"/>
        </w:rPr>
      </w:pPr>
      <w:r>
        <w:rPr>
          <w:rFonts w:hint="default" w:ascii="Times New Roman" w:hAnsi="Times New Roman" w:eastAsia="Batang" w:cs="Times New Roman"/>
          <w:highlight w:val="none"/>
          <w:lang w:val="en-US" w:eastAsia="zh-CN"/>
        </w:rPr>
        <w:t xml:space="preserve">As we know, RAN2 has agreed that RAN2 may discuss whether there is a problem of RACH configuration collision between mobile IAB and stationary network from RAN2 perspective and/or whether RAN2 should ask RAN1 to consider RAN1-related aspects. </w:t>
      </w:r>
    </w:p>
    <w:p>
      <w:pPr>
        <w:jc w:val="both"/>
        <w:rPr>
          <w:highlight w:val="none"/>
        </w:rPr>
      </w:pPr>
      <w:r>
        <w:rPr>
          <w:rFonts w:hint="eastAsia"/>
          <w:highlight w:val="none"/>
          <w:lang w:val="en-US" w:eastAsia="zh-CN"/>
        </w:rPr>
        <w:t xml:space="preserve">According to the legacy specification, </w:t>
      </w:r>
      <w:r>
        <w:rPr>
          <w:highlight w:val="none"/>
          <w:lang w:eastAsia="zh-CN"/>
        </w:rPr>
        <w:t>RACH optimization is supported by UE reported information</w:t>
      </w:r>
      <w:r>
        <w:rPr>
          <w:rFonts w:hint="eastAsia"/>
          <w:highlight w:val="none"/>
          <w:lang w:val="en-US" w:eastAsia="zh-CN"/>
        </w:rPr>
        <w:t xml:space="preserve"> </w:t>
      </w:r>
      <w:r>
        <w:rPr>
          <w:highlight w:val="none"/>
          <w:lang w:eastAsia="zh-CN"/>
        </w:rPr>
        <w:t>made available at the NG RAN node and by PRACH parameters exchange between NG RAN nodes.</w:t>
      </w:r>
      <w:r>
        <w:rPr>
          <w:rFonts w:hint="eastAsia"/>
          <w:highlight w:val="none"/>
          <w:lang w:val="en-US" w:eastAsia="zh-CN"/>
        </w:rPr>
        <w:t xml:space="preserve"> </w:t>
      </w:r>
      <w:r>
        <w:rPr>
          <w:lang w:eastAsia="zh-CN"/>
        </w:rPr>
        <w:t>In case of split gNB architecture, RACH configuration conflict detection and resolution function is located at the gNB-</w:t>
      </w:r>
      <w:r>
        <w:rPr>
          <w:highlight w:val="none"/>
          <w:lang w:eastAsia="zh-CN"/>
        </w:rPr>
        <w:t xml:space="preserve">DU. </w:t>
      </w:r>
      <w:r>
        <w:rPr>
          <w:rFonts w:hint="eastAsia"/>
          <w:highlight w:val="none"/>
          <w:lang w:val="en-US" w:eastAsia="zh-CN"/>
        </w:rPr>
        <w:t>To be specific,</w:t>
      </w:r>
      <w:r>
        <w:rPr>
          <w:highlight w:val="none"/>
          <w:lang w:eastAsia="zh-CN"/>
        </w:rPr>
        <w:t xml:space="preserve"> </w:t>
      </w:r>
      <w:r>
        <w:rPr>
          <w:highlight w:val="none"/>
        </w:rPr>
        <w:t xml:space="preserve"> </w:t>
      </w:r>
      <w:r>
        <w:rPr>
          <w:rFonts w:hint="eastAsia"/>
          <w:highlight w:val="none"/>
          <w:lang w:val="en-US" w:eastAsia="zh-CN"/>
        </w:rPr>
        <w:t>t</w:t>
      </w:r>
      <w:r>
        <w:rPr>
          <w:highlight w:val="none"/>
          <w:lang w:eastAsia="zh-CN"/>
        </w:rPr>
        <w:t xml:space="preserve">he gNB-DU signals the PRACH configuration per-cell to gNB-CU. </w:t>
      </w:r>
      <w:r>
        <w:rPr>
          <w:rFonts w:hint="eastAsia"/>
          <w:highlight w:val="none"/>
          <w:lang w:val="en-US" w:eastAsia="zh-CN"/>
        </w:rPr>
        <w:t xml:space="preserve">The </w:t>
      </w:r>
      <w:r>
        <w:rPr>
          <w:highlight w:val="none"/>
          <w:lang w:eastAsia="zh-CN"/>
        </w:rPr>
        <w:t xml:space="preserve">gNB-CU sends the RACH report reported by the UE to gNB-DU </w:t>
      </w:r>
      <w:r>
        <w:rPr>
          <w:highlight w:val="none"/>
        </w:rPr>
        <w:t>via F1AP signalling.</w:t>
      </w:r>
      <w:r>
        <w:rPr>
          <w:rFonts w:hint="eastAsia"/>
          <w:highlight w:val="none"/>
          <w:lang w:val="en-US" w:eastAsia="zh-CN"/>
        </w:rPr>
        <w:t xml:space="preserve"> </w:t>
      </w:r>
      <w:r>
        <w:rPr>
          <w:highlight w:val="none"/>
        </w:rPr>
        <w:t xml:space="preserve">The gNB-CU may </w:t>
      </w:r>
      <w:r>
        <w:rPr>
          <w:rFonts w:hint="eastAsia"/>
          <w:highlight w:val="none"/>
          <w:lang w:val="en-US" w:eastAsia="zh-CN"/>
        </w:rPr>
        <w:t xml:space="preserve">also </w:t>
      </w:r>
      <w:r>
        <w:rPr>
          <w:highlight w:val="none"/>
        </w:rPr>
        <w:t xml:space="preserve">forward </w:t>
      </w:r>
      <w:r>
        <w:rPr>
          <w:highlight w:val="none"/>
          <w:lang w:eastAsia="zh-CN"/>
        </w:rPr>
        <w:t>a</w:t>
      </w:r>
      <w:r>
        <w:rPr>
          <w:highlight w:val="none"/>
        </w:rPr>
        <w:t xml:space="preserve"> </w:t>
      </w:r>
      <w:r>
        <w:rPr>
          <w:highlight w:val="none"/>
          <w:lang w:eastAsia="zh-CN"/>
        </w:rPr>
        <w:t xml:space="preserve">limited set of </w:t>
      </w:r>
      <w:r>
        <w:rPr>
          <w:highlight w:val="none"/>
        </w:rPr>
        <w:t>neighbour cell’s PRACH configurations receiv</w:t>
      </w:r>
      <w:r>
        <w:rPr>
          <w:highlight w:val="none"/>
          <w:lang w:eastAsia="zh-CN"/>
        </w:rPr>
        <w:t>ed</w:t>
      </w:r>
      <w:r>
        <w:rPr>
          <w:highlight w:val="none"/>
        </w:rPr>
        <w:t xml:space="preserve"> from neighbour </w:t>
      </w:r>
      <w:r>
        <w:rPr>
          <w:highlight w:val="none"/>
          <w:lang w:eastAsia="zh-CN"/>
        </w:rPr>
        <w:t>gNB-CU</w:t>
      </w:r>
      <w:r>
        <w:rPr>
          <w:highlight w:val="none"/>
        </w:rPr>
        <w:t xml:space="preserve"> to the gNB-DU</w:t>
      </w:r>
      <w:r>
        <w:rPr>
          <w:highlight w:val="none"/>
          <w:lang w:eastAsia="zh-CN"/>
        </w:rPr>
        <w:t xml:space="preserve"> to resolve the configuration conflict</w:t>
      </w:r>
      <w:r>
        <w:rPr>
          <w:highlight w:val="none"/>
        </w:rPr>
        <w:t>.</w:t>
      </w:r>
    </w:p>
    <w:p>
      <w:pPr>
        <w:jc w:val="both"/>
        <w:rPr>
          <w:rFonts w:hint="eastAsia"/>
          <w:highlight w:val="none"/>
          <w:lang w:val="en-US" w:eastAsia="zh-CN"/>
        </w:rPr>
      </w:pPr>
      <w:r>
        <w:rPr>
          <w:rFonts w:hint="eastAsia"/>
          <w:highlight w:val="none"/>
          <w:lang w:val="en-US" w:eastAsia="zh-CN"/>
        </w:rPr>
        <w:t>When it comes to the mobile IAB scenario, the RACH configuration of mobile IAB-DU</w:t>
      </w:r>
      <w:r>
        <w:rPr>
          <w:rFonts w:hint="default"/>
          <w:highlight w:val="none"/>
          <w:lang w:val="en-US" w:eastAsia="zh-CN"/>
        </w:rPr>
        <w:t>’</w:t>
      </w:r>
      <w:r>
        <w:rPr>
          <w:rFonts w:hint="eastAsia"/>
          <w:highlight w:val="none"/>
          <w:lang w:val="en-US" w:eastAsia="zh-CN"/>
        </w:rPr>
        <w:t>s cell may conflict with the neighboring non-mobile IAB cells. It is likely to reuse the existing approach to resolve the RACH configuration collision. For example, after the mobile IAB-MT handover to target donor CU and the co-located mobile IAB-DU setup the F1 connection with the target donor CU, the mobile IAB-DU may send the RACH configuration of its served cells to target donor CU. If the target donor CU detects RACH configuration conflict, target donor CU may then send the RACH configuration of neighboring cells to mobile IAB-DU, which may trigger the mobile IAB-DU not to use the conflict resource.</w:t>
      </w:r>
    </w:p>
    <w:p>
      <w:pPr>
        <w:numPr>
          <w:ilvl w:val="0"/>
          <w:numId w:val="0"/>
        </w:numPr>
        <w:jc w:val="both"/>
        <w:rPr>
          <w:rFonts w:hint="eastAsia"/>
          <w:highlight w:val="none"/>
          <w:lang w:val="en-US" w:eastAsia="zh-CN"/>
        </w:rPr>
      </w:pPr>
      <w:r>
        <w:rPr>
          <w:rFonts w:hint="eastAsia"/>
          <w:highlight w:val="none"/>
          <w:lang w:val="en-US" w:eastAsia="zh-CN"/>
        </w:rPr>
        <w:t xml:space="preserve">Moreover, it is possible for the target donor CU to reconfigure the RACH for mobile IAB-DU during the HO preparation phase of mobile IAB-MT. To be specific, the source donor CU may send the RACH configuration of mobile IAB-DU to target donor CU and target donor CU may send the updated RACH configuration of mobile IAB-DU to mobile IAB-MT via the reconfigurationwithsync message. Upon receiving such configuration, the co-located mobile IAB-DU may use the updated RACH configuration. </w:t>
      </w:r>
    </w:p>
    <w:p>
      <w:pPr>
        <w:jc w:val="both"/>
        <w:rPr>
          <w:rFonts w:hint="default"/>
          <w:lang w:val="en-US" w:eastAsia="zh-CN"/>
        </w:rPr>
      </w:pPr>
      <w:r>
        <w:rPr>
          <w:rFonts w:hint="eastAsia"/>
          <w:b/>
          <w:bCs/>
          <w:lang w:val="en-US" w:eastAsia="zh-CN"/>
        </w:rPr>
        <w:t xml:space="preserve">Proposal 4: </w:t>
      </w:r>
      <w:r>
        <w:rPr>
          <w:rFonts w:hint="eastAsia" w:eastAsia="等线"/>
          <w:b/>
          <w:bCs/>
          <w:lang w:val="en-US" w:eastAsia="zh-CN"/>
        </w:rPr>
        <w:t>RAN2 to consider the RACH reconfiguration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discussed the inter-donor migration of mobile IAB node and mitigation of interference and the potential RAN2 impact</w:t>
      </w:r>
      <w:r>
        <w:rPr>
          <w:rFonts w:hint="default" w:ascii="Times New Roman" w:hAnsi="Times New Roman" w:cs="Times New Roman"/>
          <w:lang w:val="en-US" w:eastAsia="zh-CN"/>
        </w:rPr>
        <w:t>.</w:t>
      </w:r>
      <w:r>
        <w:rPr>
          <w:rFonts w:hint="eastAsia" w:cs="Times New Roman"/>
          <w:lang w:val="en-US" w:eastAsia="zh-CN"/>
        </w:rPr>
        <w:t xml:space="preserve"> The following observation and proposals are given:</w:t>
      </w:r>
    </w:p>
    <w:p>
      <w:pPr>
        <w:overflowPunct w:val="0"/>
        <w:autoSpaceDE w:val="0"/>
        <w:autoSpaceDN w:val="0"/>
        <w:adjustRightInd w:val="0"/>
        <w:spacing w:before="156" w:beforeLines="50"/>
        <w:jc w:val="both"/>
        <w:rPr>
          <w:rFonts w:hint="default" w:cs="Times New Roman"/>
          <w:lang w:val="en-US" w:eastAsia="zh-CN"/>
        </w:rPr>
      </w:pPr>
      <w:r>
        <w:rPr>
          <w:rFonts w:hint="eastAsia" w:cs="Times New Roman"/>
          <w:lang w:val="en-US" w:eastAsia="zh-CN"/>
        </w:rPr>
        <w:t>Inter-donor migration</w:t>
      </w:r>
    </w:p>
    <w:p>
      <w:pPr>
        <w:bidi w:val="0"/>
        <w:rPr>
          <w:rFonts w:hint="eastAsia"/>
          <w:b/>
          <w:bCs/>
          <w:lang w:val="en-US" w:eastAsia="zh-CN"/>
        </w:rPr>
      </w:pPr>
      <w:r>
        <w:rPr>
          <w:rFonts w:hint="eastAsia"/>
          <w:b/>
          <w:bCs/>
          <w:lang w:val="en-US" w:eastAsia="zh-CN"/>
        </w:rPr>
        <w:t>Observation 1: For CHO or delayed RRC configure, F1 connection between the target logical DU and the target donor needs to be established before MT migration, i.e. DU migration is performed before MT migration.</w:t>
      </w:r>
    </w:p>
    <w:p>
      <w:pPr>
        <w:bidi w:val="0"/>
        <w:rPr>
          <w:rFonts w:hint="default"/>
          <w:b/>
          <w:bCs/>
          <w:lang w:val="en-US" w:eastAsia="zh-CN"/>
        </w:rPr>
      </w:pPr>
      <w:r>
        <w:rPr>
          <w:rFonts w:hint="eastAsia"/>
          <w:b/>
          <w:bCs/>
          <w:lang w:val="en-US" w:eastAsia="zh-CN"/>
        </w:rPr>
        <w:t xml:space="preserve">Proposal 1: The migration type is informed to the mobile IAB node via RRCreconfiguration message to indicate whether partial or full migration is to be executed. </w:t>
      </w:r>
    </w:p>
    <w:p>
      <w:pPr>
        <w:bidi w:val="0"/>
        <w:rPr>
          <w:rFonts w:hint="eastAsia"/>
          <w:b/>
          <w:bCs/>
          <w:lang w:val="en-US" w:eastAsia="zh-CN"/>
        </w:rPr>
      </w:pPr>
      <w:r>
        <w:rPr>
          <w:rFonts w:hint="eastAsia"/>
          <w:b/>
          <w:bCs/>
          <w:lang w:val="en-US" w:eastAsia="zh-CN"/>
        </w:rPr>
        <w:t>Proposal 2: If DU migration performed before MT migration is to be supported, the migration type indicated to the mobile IAB-MT needs to be able to indicate whether DU migration or MT migration is performed first.</w:t>
      </w:r>
    </w:p>
    <w:p>
      <w:pPr>
        <w:bidi w:val="0"/>
        <w:rPr>
          <w:rFonts w:hint="default"/>
          <w:b w:val="0"/>
          <w:bCs w:val="0"/>
          <w:lang w:val="en-US" w:eastAsia="zh-CN"/>
        </w:rPr>
      </w:pPr>
      <w:r>
        <w:rPr>
          <w:rFonts w:hint="eastAsia"/>
          <w:b w:val="0"/>
          <w:bCs w:val="0"/>
          <w:lang w:val="en-US" w:eastAsia="zh-CN"/>
        </w:rPr>
        <w:t>Mitigation of interference</w:t>
      </w:r>
    </w:p>
    <w:p>
      <w:pPr>
        <w:jc w:val="both"/>
        <w:rPr>
          <w:rFonts w:hint="eastAsia" w:cs="Times New Roman"/>
          <w:lang w:val="en-US" w:eastAsia="zh-CN"/>
        </w:rPr>
      </w:pPr>
      <w:r>
        <w:rPr>
          <w:rFonts w:hint="eastAsia" w:eastAsia="等线"/>
          <w:b/>
          <w:bCs/>
          <w:lang w:val="en-US" w:eastAsia="zh-CN"/>
        </w:rPr>
        <w:t>Proposal 3: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jc w:val="both"/>
        <w:rPr>
          <w:rFonts w:hint="default" w:cs="Times New Roman"/>
          <w:lang w:val="en-US" w:eastAsia="zh-CN"/>
        </w:rPr>
      </w:pPr>
      <w:r>
        <w:rPr>
          <w:rFonts w:hint="eastAsia"/>
          <w:b/>
          <w:bCs/>
          <w:lang w:val="en-US" w:eastAsia="zh-CN"/>
        </w:rPr>
        <w:t xml:space="preserve">Proposal 4: </w:t>
      </w:r>
      <w:r>
        <w:rPr>
          <w:rFonts w:hint="eastAsia" w:eastAsia="等线"/>
          <w:b/>
          <w:bCs/>
          <w:lang w:val="en-US" w:eastAsia="zh-CN"/>
        </w:rPr>
        <w:t>RAN2 to consider the RACH reconfiguration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2"/>
        <w:rPr>
          <w:rFonts w:hint="default" w:eastAsia="宋体"/>
          <w:lang w:val="en-US" w:eastAsia="zh-CN"/>
        </w:rPr>
      </w:pPr>
      <w:r>
        <w:rPr>
          <w:rFonts w:hint="eastAsia" w:eastAsia="宋体"/>
          <w:lang w:eastAsia="zh-CN"/>
        </w:rPr>
        <w:t>Reference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9"/>
  </w:num>
  <w:num w:numId="6">
    <w:abstractNumId w:val="6"/>
  </w:num>
  <w:num w:numId="7">
    <w:abstractNumId w:val="3"/>
  </w:num>
  <w:num w:numId="8">
    <w:abstractNumId w:val="11"/>
  </w:num>
  <w:num w:numId="9">
    <w:abstractNumId w:val="1"/>
  </w:num>
  <w:num w:numId="10">
    <w:abstractNumId w:val="10"/>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358D7"/>
    <w:rsid w:val="029E07FE"/>
    <w:rsid w:val="02B5652D"/>
    <w:rsid w:val="02CB0E0D"/>
    <w:rsid w:val="02D8526C"/>
    <w:rsid w:val="02EB38B9"/>
    <w:rsid w:val="02EE0E74"/>
    <w:rsid w:val="02F22456"/>
    <w:rsid w:val="02FF2AF2"/>
    <w:rsid w:val="030026D0"/>
    <w:rsid w:val="0300644B"/>
    <w:rsid w:val="03024BFE"/>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8F1590"/>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E33AC"/>
    <w:rsid w:val="12EF6841"/>
    <w:rsid w:val="12F571E9"/>
    <w:rsid w:val="13080271"/>
    <w:rsid w:val="1311514F"/>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8264E"/>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435FC"/>
    <w:rsid w:val="14F45292"/>
    <w:rsid w:val="14F4722B"/>
    <w:rsid w:val="14F65C86"/>
    <w:rsid w:val="14F70046"/>
    <w:rsid w:val="14F76726"/>
    <w:rsid w:val="14FB45CA"/>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91D50"/>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65E45"/>
    <w:rsid w:val="19F756C5"/>
    <w:rsid w:val="1A0301A3"/>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47D45"/>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96021"/>
    <w:rsid w:val="1E4C0986"/>
    <w:rsid w:val="1E5752A2"/>
    <w:rsid w:val="1E5D25FB"/>
    <w:rsid w:val="1E6471BC"/>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C3197"/>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B76EC"/>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9FF45DF"/>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0C62BC"/>
    <w:rsid w:val="2C100C68"/>
    <w:rsid w:val="2C1B19CF"/>
    <w:rsid w:val="2C2F2AC9"/>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84D5E"/>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34C98"/>
    <w:rsid w:val="35EC0EA5"/>
    <w:rsid w:val="35EC4BB5"/>
    <w:rsid w:val="35F607C1"/>
    <w:rsid w:val="35F70CA7"/>
    <w:rsid w:val="360457CD"/>
    <w:rsid w:val="360C48D4"/>
    <w:rsid w:val="3614666F"/>
    <w:rsid w:val="36166644"/>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F810D4"/>
    <w:rsid w:val="3CF878B5"/>
    <w:rsid w:val="3CFA31FE"/>
    <w:rsid w:val="3D1665CB"/>
    <w:rsid w:val="3D1D0816"/>
    <w:rsid w:val="3D1F05EA"/>
    <w:rsid w:val="3D2820F7"/>
    <w:rsid w:val="3D292B9B"/>
    <w:rsid w:val="3D362589"/>
    <w:rsid w:val="3D3B7E48"/>
    <w:rsid w:val="3D4A4187"/>
    <w:rsid w:val="3D5331A4"/>
    <w:rsid w:val="3D6515EC"/>
    <w:rsid w:val="3D757BFC"/>
    <w:rsid w:val="3D78217F"/>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7619E"/>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9A0DBF"/>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F17B3E"/>
    <w:rsid w:val="43F52B50"/>
    <w:rsid w:val="440241BD"/>
    <w:rsid w:val="44114BC2"/>
    <w:rsid w:val="444353A3"/>
    <w:rsid w:val="44455FAC"/>
    <w:rsid w:val="444855E4"/>
    <w:rsid w:val="4448573B"/>
    <w:rsid w:val="445B0912"/>
    <w:rsid w:val="44682BB3"/>
    <w:rsid w:val="446B24E6"/>
    <w:rsid w:val="44764BC2"/>
    <w:rsid w:val="447B36F1"/>
    <w:rsid w:val="448306EE"/>
    <w:rsid w:val="44857EF6"/>
    <w:rsid w:val="4491669D"/>
    <w:rsid w:val="449562D2"/>
    <w:rsid w:val="44980F16"/>
    <w:rsid w:val="44A62B2F"/>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14269"/>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527EF"/>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A1131"/>
    <w:rsid w:val="4A117D4D"/>
    <w:rsid w:val="4A1A0CF9"/>
    <w:rsid w:val="4A1C0557"/>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43213"/>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05E2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73EED"/>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80223A6"/>
    <w:rsid w:val="581113AC"/>
    <w:rsid w:val="5815798C"/>
    <w:rsid w:val="58194C0A"/>
    <w:rsid w:val="581D2583"/>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022E1"/>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57322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AF7A4F"/>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90F3A"/>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E224A9"/>
    <w:rsid w:val="6CE24404"/>
    <w:rsid w:val="6CE80688"/>
    <w:rsid w:val="6CE94C7B"/>
    <w:rsid w:val="6CEA3704"/>
    <w:rsid w:val="6CF87280"/>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A661EC"/>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3B36"/>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0FE5D03"/>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81644"/>
    <w:rsid w:val="727B4142"/>
    <w:rsid w:val="727D691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71F13"/>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A02A08"/>
    <w:rsid w:val="7CAF279A"/>
    <w:rsid w:val="7CB62F86"/>
    <w:rsid w:val="7CC70CCA"/>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32410"/>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2022-11-04T09:00:19Z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